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43" w:rsidRDefault="00C70C43" w:rsidP="00C70C4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Sylfaen" w:hAnsi="Sylfaen"/>
          <w:color w:val="000000"/>
          <w:sz w:val="21"/>
          <w:szCs w:val="21"/>
          <w:lang w:val="hy-AM"/>
        </w:rPr>
      </w:pPr>
      <w:bookmarkStart w:id="0" w:name="_GoBack"/>
      <w:bookmarkEnd w:id="0"/>
    </w:p>
    <w:p w:rsidR="00FF6664" w:rsidRPr="00FF6664" w:rsidRDefault="00FF6664" w:rsidP="00FF666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val="hy-AM"/>
        </w:rPr>
        <w:t>ՀՀ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Կոտայքի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մարզի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Չարենցավան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համայնքի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Չարենցավան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քաղաքի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«Հրաշք»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մսուր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մանկապարտեզ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համայնքային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ոչ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առևտրային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կազմակերպությունը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հայտարարում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է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մրցույթ՝մանկավարժական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աշխատող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val="hy-AM"/>
        </w:rPr>
        <w:t>-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մեթոդիստ՝ուսումնական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գծով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տնօրենի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տեղակալ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 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val="hy-AM"/>
        </w:rPr>
        <w:t>/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կես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դրույքաչափ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val="hy-AM"/>
        </w:rPr>
        <w:t>/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թափուր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պաշտոնը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val="hy-AM"/>
        </w:rPr>
        <w:t>զբաղեցնելու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  <w:lang w:val="hy-AM"/>
        </w:rPr>
        <w:t>համար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1.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Պաշտոնային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պարտականությունները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`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1) կազմակերպում է ուսումնական հաստատության մեթոդական աշխատանքը, վերլուծում ուսումնական հաստատության ուսումնամեթոդական և դաստիարակչական աշխատանքը.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առաջարկություններ է ներկայացնում կրթական գործընթացի և մեթոդական աշխատանքի արդյունավետության բարձրացման համար: Համակարգում է մեթոդական նյութերը և կազմում տեղեկատվական նյութեր.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3) կատարում է մասնագետներ վերապատրաստելու համար կանխատեսման և պլանավորման աշխատանքներ.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4) կազմակերպում է ուսումնամեթոդական փաստաթղթերի, ձեռնարկների, ուսումնական առարկաների, սարքավորումների և դիդակտիկ նյութերի տիպային ցանկից բխող նյութերի համակարգման աշխատանքները: Վերլուծում և ընդհանրացնում է ուսումնական հաստատության փորձնական աշխատանքի արդյունքները.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5) ընդհանրացնում և միջոցներ է ձեռնարկում ուսումնական հաստատության մանկավարժական աշխատողների արդյունավետ փորձը տարածելու համար.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6) կազմակերպում և կոնկրետացնում է մեթոդմիավորումների աշխատանքը.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7) մշակում է մրցույթներ, ցուցահանդեսներ, հավաքներ, ստուգատեսներ անցկացնելու համար անհրաժեշտ փաստաթղթեր.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8) ուսումնական հաստատությունների, ստորաբաժանումների, ուսումնամեթոդական, մեթոդական կաբինետների, կենտրոնների ղեկավարներին և մանկավարժական աշխատողներին խորհրդատվական և գործնական օգնություն է ցույց տալիս ուսումնական, մեթոդական և դաստիարակչական աշխատանքներ կազմակերպելու համար.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9) մասնակցություն է ունենում ուսումնական ձեռնարկների հեռանկարային պլանների քննարկման մշակման գործընթացին.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10) հաղորդում է ուսուցման և դաստիարակության առաջավոր տեխնոլոգիաները։ Ուսումնասիրում է ուսումնական հաստատությունների տեսալսողական միջոցների պահանջարկը և գործող ֆոնդի վիճակը.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11) հաստատության տնօրենի հետ համատեղ</w:t>
      </w:r>
      <w:r w:rsidRPr="00FF6664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մասնակցում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է՝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ա. դաստիարակների, մասնագետների, դաստիարակների օգնականների թեկնածությունների ընտրությանը, կոլեկտիվում բարոյահոգեբանական մթնոլորտի ստեղծման, աշխատակիցների բարոյական և նյութական խրախուսման գործընթացին.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բ. հաստատության աշխատանքային պլանի, զարգացման ծրագրերի մշակմանը, ռազմավարության պլանավորմանն ու ներդրմանը.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գ. բնակչության, ծնողական համայնքի շրջանում հաստատության վարկի և հեղինակության ստեղծմանը, կրթական ծրագրերի ընտրությանը.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դ. երեխաների հետ տարվող դաստիարակչական, կրթական աշխատանքների կազմակերպմանը.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ե. հաստատությունում փորձարարական, հետազոտական աշխատանքների կազմակերպմանը.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lastRenderedPageBreak/>
        <w:t>զ. դաստիարակների ինտելեկտուալ ներուժի ներդրման զարգացման գործում համագործակցությանը այլ կազմակերպությունների հետ.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12) պլանավորում է ուսումնադաստիարակչական, մեթոդական աշխատանքները հաստատությունում՝ հաշվի առնելով մանկավարժական կադրերի կարողությունները, փորձը. այդ թվում՝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ա. դաստիարակների մասնագիտական որակավորման բարձրացումը.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բ. դաստիարակների ինքնակրթության հարցում աջակցությունը.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գ. պարապմունքների բաշխման գրաֆիկը՝ ըստ տարիքային խմբերի.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դ. դաստիարակներին մեթոդական օգնության կազմակերպումը՝ պարապմունքների նախապատրաստման և անցկացման գործում.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ե. հաստատությունում աշխատանքի փորձի փոխանակումը.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զ. իրազեկումը՝ նախադպրոցական մանկավարժության տեսության և պրակտիկայի նորույթներին.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է. ծնողների հետ տարվող աշխատանքը.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ը. մանկապարտեզի և դպրոցի կապը, հաջորդականությունը.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թ. մանկավարժական կադրերի ատեստացիան.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ժ. խմբերի համալրումը ուսումնական պարագաներով, խաղերով, խաղալիքներով.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ի. մեթոդական աշխատանքի արդյունավետության բարձրացման նպատակով ուսումնամեթոդական և կրթադաստիարակչական աշխատանքի վերլուծություն և դրա հիման վրա կոնկրետ միջոցառումների ընդունում.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13) կազմակերպում է ուսումնադաստիարակչական, մեթոդական աշխատանքները.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14) նախապատրաստում և պարբերաբար անցկացնում է մանկավարժական խորհրդի նիստեր.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15) դաստիարակների համար անցկացնում է բաց պարապմունքներ, սեմինարներ, անհատական և խմբային խորհրդատվություններ (կոնսուլտացիաներ), ստուգատեսներ, ցուցահանդեսներ.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16) կազմակերպում է ստեղծագործական խմբի աշխատանքը.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17) կազմակերպում է դաստիարակների հետ ուսումնադիտողական պարագաների, դիդակտիկ նյութերի պատրաստման աշխատանքները.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18) կազմակերպում է դպրոցի հետ համագործակցության ուղղությամբ տարվող աշխատանքները.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19) պատրաստում է ծնողների հետ տարվող աշխատանքների համար վահանակներ, շարժական թղթապանակներ ընտանեկան դաստիարակության փորձի վերաբերյալ.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20) ժամանակին ձևակերպում է մանկավարժական փաստաթղթերը.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21) ձևավորում և ընդհանրացնում է մանկավարժական լավագույն փորձը տարբեր ուղղություններով.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22) իրականացնում է դաստիարակների աշխատանքի նկատմամբ վերահսկողություն. սիստեմատիկ ստուգում է՝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ա. ուսումնադաստիարակչական աշխատանքների պլանները.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բ. մեթոդական աշխատանքը մանկապարտեզում, մանկավարժների ինքնակրթությունը.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գ. մեթոդական աշխատանքի բովանդակությունը. նախապատրաստումը, ծրագրավորումը, պլանավորումը, կազմակերպումն ու կարգավորումը, խթանումը, վերլուծությունը: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2.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Նախադպրոցական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ուսումնական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հաստատության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մեթոդիստի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`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տնօրենի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ուսումնական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գծով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տեղակալի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պաշտոնն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զբաղեցնողի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գիտելիքներին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,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կարողություններին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և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հմտություններին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ներկայացվողը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ընդհանրական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պահանջները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1) նախադպրոցական ուսումնական հաստատության մեթոդիստը` տնօրենի ուսումնական գծով տնօրենի տեղակալի պաշտոն զբաղեցնողը պետք է իմանա ստորև նշված նորմատիվ ակտերի </w:t>
      </w:r>
      <w:r w:rsidRPr="00FF666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lastRenderedPageBreak/>
        <w:t>այն դրույթները, որոնք վերաբերում են նախադպրոցական կրթության բնագավառին և կանոնակարգում են պաշտոնի նկարագրով ամրագրված լիազորությունները`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ա.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Նախադպրոցական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Երեխայի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իրավունքների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Հանրակրթության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առանձնահատուկ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պայմանների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կարիք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ունեցող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անձանց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Տեղական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ինքնակառավարման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Լիցենզավորման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տեսչության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»,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Լեզվի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ՀՀ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օրենքները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, «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նախադպրոցական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հաստատություն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ոչ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առևտրային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օրինակելի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կանոնադրությունը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նախադպրոցական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նորմատիվային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բ. </w:t>
      </w:r>
      <w:proofErr w:type="spellStart"/>
      <w:proofErr w:type="gram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դիդակտիկայի</w:t>
      </w:r>
      <w:proofErr w:type="spellEnd"/>
      <w:proofErr w:type="gram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սկզբունքները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մանկավարժության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տարիքային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հոգեբանության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հիմունքները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ուսուցման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գործընթացի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գործունեության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ֆինանսատնտեսական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համակարգը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ուսումնածրագրային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պլանների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կրթական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ծրագրերի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սարքավորումների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օրինակելի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ցանկերի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այլ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ուսումնամեթոդական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մշակման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սկզբունքները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գ. </w:t>
      </w:r>
      <w:proofErr w:type="spellStart"/>
      <w:proofErr w:type="gram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proofErr w:type="gram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հաստատություններում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մանկավարժական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արդյունավետ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ձևերի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մեթոդների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հայտնաբերման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ընդհանրացման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տարածման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մեթոդիկան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սկզբունքները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դ. ՀՀ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օրենսդրությունը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անվտանգության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երեխաների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կյանքի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առողջության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պաշտպանության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կանոնները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նորմերը</w:t>
      </w:r>
      <w:proofErr w:type="spellEnd"/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color w:val="000000"/>
          <w:sz w:val="21"/>
          <w:szCs w:val="21"/>
        </w:rPr>
        <w:t>3.</w:t>
      </w:r>
      <w:r w:rsidRPr="00FF6664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Որակավորմանպահանջները</w:t>
      </w:r>
      <w:proofErr w:type="spellEnd"/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`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1)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gram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նախադպրոցական</w:t>
      </w:r>
      <w:proofErr w:type="gramEnd"/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ուսումնական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հաստատության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մեթոդիստի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տնօրենի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ուսում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նական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գծով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տեղակալի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պաշտոն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զբաղեցնողը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պետք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է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ունենա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`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բարձրագույն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(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բակալավր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դիպլոմավորված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մասնագետ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մագիստրոս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)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կրթություն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և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վերջին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յոթ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տարվա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ընթացքում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նախադպրոցական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կրթության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ոլորտի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կամ</w:t>
      </w:r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մանկավարժակ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անաշխատանքի</w:t>
      </w:r>
      <w:proofErr w:type="spellEnd"/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առնվազն</w:t>
      </w:r>
      <w:proofErr w:type="spellEnd"/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երկու</w:t>
      </w:r>
      <w:proofErr w:type="spellEnd"/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տարվ</w:t>
      </w:r>
      <w:proofErr w:type="spellEnd"/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ամանկավարժական</w:t>
      </w:r>
      <w:proofErr w:type="spellEnd"/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գործունեությ</w:t>
      </w:r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ան</w:t>
      </w:r>
      <w:proofErr w:type="spellEnd"/>
      <w:r w:rsidRPr="00FF666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ստաժ</w:t>
      </w:r>
      <w:proofErr w:type="spellEnd"/>
      <w:r w:rsidRPr="00FF666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: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Մրցույթը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կկայանա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07.02.2024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թ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.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՝ժամը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11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ºº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-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ին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Հրաշք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մանկապարտեզում։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Նշված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թափուր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պաշտոնը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զբաղեցնելու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համար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դիմող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քաղաքացիները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պետք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է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ներկայացնեն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`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դիմում</w:t>
      </w:r>
      <w:proofErr w:type="spellEnd"/>
      <w:proofErr w:type="gram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անձը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հաստատող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փաստաթուղթ</w:t>
      </w:r>
      <w:proofErr w:type="spellEnd"/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կրթության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մասին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փաստաթուղթ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(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դիպլոմ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)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աշխատանքային</w:t>
      </w:r>
      <w:proofErr w:type="spellEnd"/>
      <w:proofErr w:type="gram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ստաժի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վերաբերյալտեղեկանք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կամ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աշխատանքայինգրքույկ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(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առկայությանդեպքում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).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ինքնակենսագրություն</w:t>
      </w:r>
      <w:proofErr w:type="spellEnd"/>
      <w:proofErr w:type="gram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մեկ</w:t>
      </w:r>
      <w:proofErr w:type="spellEnd"/>
      <w:proofErr w:type="gram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լուսանկար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` 3x4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չափսի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այլ</w:t>
      </w:r>
      <w:proofErr w:type="spellEnd"/>
      <w:proofErr w:type="gram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պետությունների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քա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ղաքացիները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՝ Հայաստանի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Հանրապետությունում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աշխատելու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իրավունքը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հավաստող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փաստաթուղթ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Հայաստանի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Հանրապետության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արական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սեռի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քաղաքացիները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ներկայացնում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են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նաև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զինվորական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գրքույկ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կամ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զինվորական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կցագրման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վկայական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հրապարակված</w:t>
      </w:r>
      <w:proofErr w:type="gram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հոդվածների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ցանկ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կամ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գիտական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կոչումը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հավ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աստող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փաստաթղթեր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(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դրանց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առկայության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դեպքում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).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Տնօրենի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կողմից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նշանակված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պատասխանատու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անձը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ներկայացված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փաստաթղթերի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բնօրինակները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համեմատում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է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պատճեների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հետ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բնօրինակները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վերադարձնում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:</w:t>
      </w:r>
    </w:p>
    <w:p w:rsidR="00FF6664" w:rsidRPr="00FF6664" w:rsidRDefault="00FF6664" w:rsidP="00FF6664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lastRenderedPageBreak/>
        <w:t>Եթե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ներկայացված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փաստաթղթերի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ցանկն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ամբողջական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չէ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կամ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առկա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են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թերություններ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մ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ասնակիցը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կարող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է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մինչև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փաստաթղթերի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ընդունման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ժամկետի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ավարտը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վերացնել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թերությունները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և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համալրել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փաստաթղթերի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ցանկը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: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Փաստաթղթերն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ընդունվում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են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ամեն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օր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`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ժամը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10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16"/>
          <w:szCs w:val="16"/>
          <w:vertAlign w:val="superscript"/>
        </w:rPr>
        <w:t>00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-16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16"/>
          <w:szCs w:val="16"/>
          <w:vertAlign w:val="superscript"/>
        </w:rPr>
        <w:t>00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-ը,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բացի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շաբաթ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և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կիրակի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օրերից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,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Չարենցավան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համայնքի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Չարենցավան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քաղաքի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«Հրաշք»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մսուր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մանկապարտ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եզ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ՀՈԱԿ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-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ի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շենքում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/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ք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.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Չարենցավան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, 6-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րդ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թաղամաս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, 1-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ին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փողոց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, 1-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ին</w:t>
      </w:r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շինություն</w:t>
      </w:r>
      <w:proofErr w:type="spellEnd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։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Հարցաշարին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ծանոթանալու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համար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կարող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եք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անցնել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հետևյալ</w:t>
      </w:r>
      <w:proofErr w:type="spellEnd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հղումով</w:t>
      </w:r>
      <w:proofErr w:type="spellEnd"/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՝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https://escs.am/am/news/11978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Հեռ</w:t>
      </w:r>
      <w:proofErr w:type="spell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՝</w:t>
      </w:r>
      <w:proofErr w:type="gramStart"/>
      <w:r w:rsidRPr="00FF6664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+</w:t>
      </w:r>
      <w:proofErr w:type="gramEnd"/>
      <w:r w:rsidRPr="00FF666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374 93 012561</w:t>
      </w:r>
      <w:r w:rsidRPr="00FF6664">
        <w:rPr>
          <w:rFonts w:ascii="GHEA Grapalat" w:eastAsia="Times New Roman" w:hAnsi="GHEA Grapalat" w:cs="GHEA Grapalat"/>
          <w:i/>
          <w:iCs/>
          <w:color w:val="000000"/>
          <w:sz w:val="21"/>
          <w:szCs w:val="21"/>
        </w:rPr>
        <w:t>։</w:t>
      </w:r>
    </w:p>
    <w:p w:rsidR="00FF6664" w:rsidRPr="00FF6664" w:rsidRDefault="00FF6664" w:rsidP="00FF666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Դիմումների</w:t>
      </w:r>
      <w:proofErr w:type="spellEnd"/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ընդունման</w:t>
      </w:r>
      <w:proofErr w:type="spellEnd"/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վերջնաժամկետն</w:t>
      </w:r>
      <w:proofErr w:type="spellEnd"/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է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proofErr w:type="gramStart"/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 xml:space="preserve">2024 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թվականի</w:t>
      </w:r>
      <w:proofErr w:type="spellEnd"/>
      <w:proofErr w:type="gramEnd"/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փետրվարի</w:t>
      </w:r>
      <w:proofErr w:type="spellEnd"/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1-</w:t>
      </w:r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ը</w:t>
      </w:r>
      <w:r w:rsidRPr="00FF666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F6664">
        <w:rPr>
          <w:rFonts w:ascii="GHEA Grapalat" w:eastAsia="Times New Roman" w:hAnsi="GHEA Grapalat" w:cs="GHEA Grapalat"/>
          <w:b/>
          <w:bCs/>
          <w:i/>
          <w:iCs/>
          <w:color w:val="000000"/>
          <w:sz w:val="21"/>
          <w:szCs w:val="21"/>
        </w:rPr>
        <w:t>նե</w:t>
      </w:r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րառյալ</w:t>
      </w:r>
      <w:proofErr w:type="spellEnd"/>
      <w:r w:rsidRPr="00FF666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։</w:t>
      </w:r>
    </w:p>
    <w:p w:rsidR="00C70C43" w:rsidRPr="00FF6664" w:rsidRDefault="00C70C43" w:rsidP="00C70C4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Sylfaen" w:hAnsi="Sylfaen"/>
          <w:color w:val="000000"/>
          <w:sz w:val="21"/>
          <w:szCs w:val="21"/>
        </w:rPr>
      </w:pPr>
    </w:p>
    <w:p w:rsidR="00C70C43" w:rsidRDefault="00C70C43" w:rsidP="00C70C4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Sylfaen" w:hAnsi="Sylfaen"/>
          <w:color w:val="000000"/>
          <w:sz w:val="21"/>
          <w:szCs w:val="21"/>
          <w:lang w:val="hy-AM"/>
        </w:rPr>
      </w:pPr>
    </w:p>
    <w:p w:rsidR="00C70C43" w:rsidRDefault="00C70C43" w:rsidP="00C70C4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Sylfaen" w:hAnsi="Sylfaen"/>
          <w:color w:val="000000"/>
          <w:sz w:val="21"/>
          <w:szCs w:val="21"/>
          <w:lang w:val="hy-AM"/>
        </w:rPr>
      </w:pPr>
    </w:p>
    <w:p w:rsidR="00C70C43" w:rsidRDefault="00C70C43" w:rsidP="00C70C4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Sylfaen" w:hAnsi="Sylfaen"/>
          <w:color w:val="000000"/>
          <w:sz w:val="21"/>
          <w:szCs w:val="21"/>
          <w:lang w:val="hy-AM"/>
        </w:rPr>
      </w:pPr>
    </w:p>
    <w:sectPr w:rsidR="00C7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570"/>
    <w:multiLevelType w:val="multilevel"/>
    <w:tmpl w:val="A81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6E"/>
    <w:rsid w:val="000B72C8"/>
    <w:rsid w:val="00742E6E"/>
    <w:rsid w:val="00C70C43"/>
    <w:rsid w:val="00D12AD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SATENIK</dc:creator>
  <cp:lastModifiedBy>wws</cp:lastModifiedBy>
  <cp:revision>2</cp:revision>
  <dcterms:created xsi:type="dcterms:W3CDTF">2024-01-11T10:32:00Z</dcterms:created>
  <dcterms:modified xsi:type="dcterms:W3CDTF">2024-01-11T10:32:00Z</dcterms:modified>
</cp:coreProperties>
</file>